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35CFE" w14:textId="77777777" w:rsidR="00F32AB7" w:rsidRDefault="00F32AB7" w:rsidP="00F53CBC">
      <w:pPr>
        <w:spacing w:line="360" w:lineRule="auto"/>
        <w:ind w:firstLine="720"/>
      </w:pPr>
      <w:r>
        <w:t xml:space="preserve">Persistent organic contaminants such as 1,4-dioxane are difficult to remove using conventional biological wastewater treatment and can require energy-intensive advanced oxidation processes (AOPs) for degradation. Gas-liquid nonthermal plasma (NTP) can rapidly initiate the degradation of these contaminants and has the potential to achieve complete mineralization. However, continued plasma treatment of the smaller organic intermediates formed during degradation requires additional electrical energy. Coupling NTP with biological treatment provides a way to use plasma for the initial degradation of the persistent parent contaminant while microorganisms remove the more biodegradable products that are formed. This dissertation evaluated whether engineered </w:t>
      </w:r>
      <w:r>
        <w:rPr>
          <w:i/>
          <w:iCs/>
        </w:rPr>
        <w:t xml:space="preserve">Pseudomonas putida </w:t>
      </w:r>
      <w:r w:rsidRPr="00820809">
        <w:t>(</w:t>
      </w:r>
      <w:r>
        <w:rPr>
          <w:i/>
          <w:iCs/>
        </w:rPr>
        <w:t>P. putida</w:t>
      </w:r>
      <w:r>
        <w:t xml:space="preserve">) could remain viable and functional post-plasma exposure and could contribute to the removal of plasma generated intermediates </w:t>
      </w:r>
      <w:r w:rsidRPr="00203788">
        <w:rPr>
          <w:i/>
        </w:rPr>
        <w:t>in situ</w:t>
      </w:r>
      <w:r>
        <w:t xml:space="preserve"> during treatment of 1,4-dioxane. </w:t>
      </w:r>
    </w:p>
    <w:p w14:paraId="23E3238A" w14:textId="77777777" w:rsidR="00F32AB7" w:rsidRDefault="00F32AB7" w:rsidP="00F32AB7">
      <w:pPr>
        <w:spacing w:line="360" w:lineRule="auto"/>
        <w:ind w:firstLine="720"/>
      </w:pPr>
      <w:r>
        <w:t xml:space="preserve">The ability of </w:t>
      </w:r>
      <w:r w:rsidRPr="49F62175">
        <w:rPr>
          <w:i/>
          <w:iCs/>
        </w:rPr>
        <w:t>P. putida</w:t>
      </w:r>
      <w:r>
        <w:t xml:space="preserve"> to remove H</w:t>
      </w:r>
      <w:r w:rsidRPr="49F62175">
        <w:rPr>
          <w:vertAlign w:val="subscript"/>
        </w:rPr>
        <w:t>2</w:t>
      </w:r>
      <w:r>
        <w:t>O</w:t>
      </w:r>
      <w:r w:rsidRPr="49F62175">
        <w:rPr>
          <w:vertAlign w:val="subscript"/>
        </w:rPr>
        <w:t>2</w:t>
      </w:r>
      <w:r>
        <w:t xml:space="preserve"> and formic acid was first evaluated under controlled conditions. Engineered </w:t>
      </w:r>
      <w:r w:rsidRPr="49F62175">
        <w:rPr>
          <w:i/>
          <w:iCs/>
        </w:rPr>
        <w:t>P. putida</w:t>
      </w:r>
      <w:r>
        <w:t xml:space="preserve"> strains decreased initial 100 mM H</w:t>
      </w:r>
      <w:r w:rsidRPr="49F62175">
        <w:rPr>
          <w:vertAlign w:val="subscript"/>
        </w:rPr>
        <w:t>2</w:t>
      </w:r>
      <w:r>
        <w:t>O</w:t>
      </w:r>
      <w:r w:rsidRPr="49F62175">
        <w:rPr>
          <w:vertAlign w:val="subscript"/>
        </w:rPr>
        <w:t>2</w:t>
      </w:r>
      <w:r>
        <w:t xml:space="preserve"> concentrations by more than 50% within 1 minute, with concentrations approaching zero within approximately 3 minutes. Similar removal was maintained in plasma-treated water (PTW) containing approximately 8 mM H</w:t>
      </w:r>
      <w:r w:rsidRPr="49F62175">
        <w:rPr>
          <w:vertAlign w:val="subscript"/>
        </w:rPr>
        <w:t>2</w:t>
      </w:r>
      <w:r>
        <w:t>O</w:t>
      </w:r>
      <w:r w:rsidRPr="49F62175">
        <w:rPr>
          <w:vertAlign w:val="subscript"/>
        </w:rPr>
        <w:t>2</w:t>
      </w:r>
      <w:r>
        <w:t xml:space="preserve">. Formic acid was also rapidly degraded by all strains, with an initial concentration of approximately 50 mg/L decreasing to approximately 5-14 mg/L within 6 minutes. Direct NTP exposure caused substantial cellular stress, but approximately 26-41% of the cell population remained viable immediately following treatment across the strains tested. Passage through the reactor with the plasma off did not increase the membrane-damaged or dead populations, indicating that the observed loss in viability was associated with plasma exposure rather than reactor transit. The surviving cells were then evaluated for post-exposure growth and metabolic functionality. The cells recovered and resumed growth over a 20-hour period. Constitutive and inducible plasmid-encoded GFP expression was also maintained following plasma exposure, demonstrating that the surviving population retained engineered cellular function. </w:t>
      </w:r>
    </w:p>
    <w:p w14:paraId="5BD71F80" w14:textId="77777777" w:rsidR="00F32AB7" w:rsidRDefault="00F32AB7" w:rsidP="00F32AB7">
      <w:pPr>
        <w:spacing w:line="360" w:lineRule="auto"/>
        <w:ind w:firstLine="720"/>
      </w:pPr>
      <w:r>
        <w:rPr>
          <w:i/>
          <w:iCs/>
        </w:rPr>
        <w:t>P. putida</w:t>
      </w:r>
      <w:r>
        <w:t xml:space="preserve"> was further engineered with constitutive and inducible expression of a heterologous </w:t>
      </w:r>
      <w:proofErr w:type="spellStart"/>
      <w:r>
        <w:t>formate</w:t>
      </w:r>
      <w:proofErr w:type="spellEnd"/>
      <w:r>
        <w:t xml:space="preserve"> dehydrogenase (</w:t>
      </w:r>
      <w:proofErr w:type="spellStart"/>
      <w:r>
        <w:t>BsFDH</w:t>
      </w:r>
      <w:proofErr w:type="spellEnd"/>
      <w:r>
        <w:t xml:space="preserve">). </w:t>
      </w:r>
      <w:proofErr w:type="spellStart"/>
      <w:r>
        <w:t>BsFDH</w:t>
      </w:r>
      <w:proofErr w:type="spellEnd"/>
      <w:r>
        <w:t xml:space="preserve"> expression did not consistently improve formic acid degradation under controlled conditions at initial concentration of either 50 or 150 mg/L. However, a different response was observed during coupled NTP treatment of 1,4-</w:t>
      </w:r>
      <w:r>
        <w:lastRenderedPageBreak/>
        <w:t xml:space="preserve">dioxane. NTP removed approximately 91-95% of 1,4-dioxane across all treatment groups when the removal was calculated relative to the Transit Plasma Off concentration to account for loss into the gas-phase during reactor transit. Plasma treatment resulted in the generation of 17.6 mg/L of formic in the absence of cells, compared with 9.84 mg/L in the presence of the control strain NCC3. Formic acid concentrations were further decreased to 3.30 mg/L with the constitutive </w:t>
      </w:r>
      <w:proofErr w:type="spellStart"/>
      <w:r>
        <w:t>BsFDH</w:t>
      </w:r>
      <w:proofErr w:type="spellEnd"/>
      <w:r>
        <w:t xml:space="preserve"> expression strain EBC17, and to 2.60 mg/L with the induced </w:t>
      </w:r>
      <w:proofErr w:type="spellStart"/>
      <w:r>
        <w:t>BsFDH</w:t>
      </w:r>
      <w:proofErr w:type="spellEnd"/>
      <w:r>
        <w:t xml:space="preserve"> expression strain EBC18, while 12.8 mg/L remained with the non-induced </w:t>
      </w:r>
      <w:proofErr w:type="spellStart"/>
      <w:r>
        <w:t>BsFDH</w:t>
      </w:r>
      <w:proofErr w:type="spellEnd"/>
      <w:r>
        <w:t xml:space="preserve"> expression strain EBC18. After normalizing formic acid removal to the amount of 1,4-dioxane degraded by NTP, NCC3 degraded approximately 40% of the formic acid expected to be present based on the </w:t>
      </w:r>
      <w:r w:rsidRPr="006B2E77">
        <w:rPr>
          <w:i/>
        </w:rPr>
        <w:t>No Cells Control</w:t>
      </w:r>
      <w:r>
        <w:t xml:space="preserve">. Formic acid degradation was further enhanced by the </w:t>
      </w:r>
      <w:proofErr w:type="spellStart"/>
      <w:r>
        <w:t>BsFDH</w:t>
      </w:r>
      <w:proofErr w:type="spellEnd"/>
      <w:r>
        <w:t xml:space="preserve">-expressing strains. EBC17 and induced EBC18 degraded approximately 79% and 84%, respectively, of the expected formic acid based on the </w:t>
      </w:r>
      <w:r w:rsidRPr="006B2E77">
        <w:rPr>
          <w:i/>
        </w:rPr>
        <w:t>No Cells Control</w:t>
      </w:r>
      <w:r>
        <w:t xml:space="preserve">.  In comparison, non-induced EBC18 degraded approximately 23% of the formic acid expected to be present based on the </w:t>
      </w:r>
      <w:r w:rsidRPr="006B2E77">
        <w:rPr>
          <w:i/>
        </w:rPr>
        <w:t>No Cells Control</w:t>
      </w:r>
      <w:r>
        <w:t xml:space="preserve"> and was not significantly different from NCC3 after normalization.</w:t>
      </w:r>
    </w:p>
    <w:p w14:paraId="28A68F47" w14:textId="35B9C2B3" w:rsidR="004F46EE" w:rsidRPr="00581D83" w:rsidRDefault="00F32AB7" w:rsidP="00581D83">
      <w:pPr>
        <w:spacing w:line="360" w:lineRule="auto"/>
        <w:ind w:firstLine="720"/>
        <w:rPr>
          <w:color w:val="000000" w:themeColor="text1"/>
        </w:rPr>
      </w:pPr>
      <w:r>
        <w:t xml:space="preserve">Overall, this work demonstrates that engineered </w:t>
      </w:r>
      <w:r>
        <w:rPr>
          <w:i/>
          <w:iCs/>
        </w:rPr>
        <w:t>P. putida</w:t>
      </w:r>
      <w:r>
        <w:t xml:space="preserve"> can survive direct exposure to gas-liquid NTP, recover following treatment, retain plasmid-encoded function, and contribute to the </w:t>
      </w:r>
      <w:proofErr w:type="gramStart"/>
      <w:r w:rsidRPr="00203788">
        <w:rPr>
          <w:i/>
        </w:rPr>
        <w:t>in situ</w:t>
      </w:r>
      <w:proofErr w:type="gramEnd"/>
      <w:r>
        <w:t xml:space="preserve"> removal of formic acid generated during 1,4-dioxane degradation. </w:t>
      </w:r>
      <w:r w:rsidRPr="1BBD149E">
        <w:rPr>
          <w:color w:val="000000" w:themeColor="text1"/>
        </w:rPr>
        <w:t>Taken together, these findings underscore the potential of plasma-bioreactor integration as a sustainable and effective approach for wastewater treatment. By leveraging plasma-driven oxidation to initialize the breakdown of recalcitrant organic pollutants and utilizing engineered bacteria to further metabolize the intermediate compounds, this hybrid strategy offers a cost-efficient and promising pathway for addressing contaminants that resist conventional bioremediation.</w:t>
      </w:r>
    </w:p>
    <w:sectPr w:rsidR="004F46EE" w:rsidRPr="00581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B78CD"/>
    <w:multiLevelType w:val="multilevel"/>
    <w:tmpl w:val="66428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62480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683"/>
    <w:rsid w:val="00000F0F"/>
    <w:rsid w:val="00061F00"/>
    <w:rsid w:val="000B2215"/>
    <w:rsid w:val="000D737C"/>
    <w:rsid w:val="000E1E42"/>
    <w:rsid w:val="000F05DC"/>
    <w:rsid w:val="000F154C"/>
    <w:rsid w:val="000F62F7"/>
    <w:rsid w:val="0011609D"/>
    <w:rsid w:val="0013734A"/>
    <w:rsid w:val="001C2205"/>
    <w:rsid w:val="0023507C"/>
    <w:rsid w:val="00254E3F"/>
    <w:rsid w:val="00260018"/>
    <w:rsid w:val="002711E6"/>
    <w:rsid w:val="002822E6"/>
    <w:rsid w:val="00290E01"/>
    <w:rsid w:val="002A0BD1"/>
    <w:rsid w:val="002C09A8"/>
    <w:rsid w:val="00304161"/>
    <w:rsid w:val="003122AE"/>
    <w:rsid w:val="00337312"/>
    <w:rsid w:val="0039162A"/>
    <w:rsid w:val="003C674D"/>
    <w:rsid w:val="003D5E7A"/>
    <w:rsid w:val="00416177"/>
    <w:rsid w:val="0044631E"/>
    <w:rsid w:val="004C5811"/>
    <w:rsid w:val="004F46EE"/>
    <w:rsid w:val="00543AA5"/>
    <w:rsid w:val="00550CAF"/>
    <w:rsid w:val="00581D83"/>
    <w:rsid w:val="00593740"/>
    <w:rsid w:val="0059542C"/>
    <w:rsid w:val="005D4ACF"/>
    <w:rsid w:val="005E3970"/>
    <w:rsid w:val="00611120"/>
    <w:rsid w:val="00660774"/>
    <w:rsid w:val="006644C9"/>
    <w:rsid w:val="006744FE"/>
    <w:rsid w:val="006A2067"/>
    <w:rsid w:val="0070427B"/>
    <w:rsid w:val="00704FCD"/>
    <w:rsid w:val="007849EA"/>
    <w:rsid w:val="008324B0"/>
    <w:rsid w:val="00835919"/>
    <w:rsid w:val="008410EB"/>
    <w:rsid w:val="008B30E4"/>
    <w:rsid w:val="008D39E3"/>
    <w:rsid w:val="00904F32"/>
    <w:rsid w:val="00956CFD"/>
    <w:rsid w:val="009642FF"/>
    <w:rsid w:val="00974683"/>
    <w:rsid w:val="00974719"/>
    <w:rsid w:val="00977D27"/>
    <w:rsid w:val="009A1538"/>
    <w:rsid w:val="009C594E"/>
    <w:rsid w:val="009D02E0"/>
    <w:rsid w:val="009D7B7D"/>
    <w:rsid w:val="009F7EE4"/>
    <w:rsid w:val="00A00E1E"/>
    <w:rsid w:val="00A628E3"/>
    <w:rsid w:val="00A849D9"/>
    <w:rsid w:val="00A950AF"/>
    <w:rsid w:val="00AA3A55"/>
    <w:rsid w:val="00AC330D"/>
    <w:rsid w:val="00AE131B"/>
    <w:rsid w:val="00AE3771"/>
    <w:rsid w:val="00AF1666"/>
    <w:rsid w:val="00B07867"/>
    <w:rsid w:val="00B30813"/>
    <w:rsid w:val="00B32747"/>
    <w:rsid w:val="00B42121"/>
    <w:rsid w:val="00B6510F"/>
    <w:rsid w:val="00BB5E55"/>
    <w:rsid w:val="00BE0E04"/>
    <w:rsid w:val="00C03109"/>
    <w:rsid w:val="00C2441E"/>
    <w:rsid w:val="00C30D2B"/>
    <w:rsid w:val="00C54D07"/>
    <w:rsid w:val="00C55FC9"/>
    <w:rsid w:val="00CC0A57"/>
    <w:rsid w:val="00CF71AD"/>
    <w:rsid w:val="00D40AA7"/>
    <w:rsid w:val="00D7291E"/>
    <w:rsid w:val="00D7750A"/>
    <w:rsid w:val="00DC39F7"/>
    <w:rsid w:val="00E04C44"/>
    <w:rsid w:val="00E06E64"/>
    <w:rsid w:val="00E07BBB"/>
    <w:rsid w:val="00E22827"/>
    <w:rsid w:val="00E46AE0"/>
    <w:rsid w:val="00E47CF4"/>
    <w:rsid w:val="00E62C52"/>
    <w:rsid w:val="00E96E91"/>
    <w:rsid w:val="00F02A5E"/>
    <w:rsid w:val="00F20885"/>
    <w:rsid w:val="00F32AB7"/>
    <w:rsid w:val="00F46B6F"/>
    <w:rsid w:val="00F53CBC"/>
    <w:rsid w:val="00F67926"/>
    <w:rsid w:val="00F936FC"/>
    <w:rsid w:val="00FD5BDB"/>
    <w:rsid w:val="00FD634B"/>
    <w:rsid w:val="00FE7EAF"/>
    <w:rsid w:val="00FF0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E8CA"/>
  <w15:chartTrackingRefBased/>
  <w15:docId w15:val="{E72BD616-C6DE-BB4B-9218-F6355ED1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AB7"/>
  </w:style>
  <w:style w:type="paragraph" w:styleId="Heading1">
    <w:name w:val="heading 1"/>
    <w:basedOn w:val="Normal"/>
    <w:next w:val="Normal"/>
    <w:link w:val="Heading1Char"/>
    <w:uiPriority w:val="9"/>
    <w:qFormat/>
    <w:rsid w:val="00974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68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6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468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468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468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468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468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6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6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68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68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468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468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468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468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468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4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68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68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4683"/>
    <w:pPr>
      <w:spacing w:before="160"/>
      <w:jc w:val="center"/>
    </w:pPr>
    <w:rPr>
      <w:i/>
      <w:iCs/>
      <w:color w:val="404040" w:themeColor="text1" w:themeTint="BF"/>
    </w:rPr>
  </w:style>
  <w:style w:type="character" w:customStyle="1" w:styleId="QuoteChar">
    <w:name w:val="Quote Char"/>
    <w:basedOn w:val="DefaultParagraphFont"/>
    <w:link w:val="Quote"/>
    <w:uiPriority w:val="29"/>
    <w:rsid w:val="00974683"/>
    <w:rPr>
      <w:i/>
      <w:iCs/>
      <w:color w:val="404040" w:themeColor="text1" w:themeTint="BF"/>
    </w:rPr>
  </w:style>
  <w:style w:type="paragraph" w:styleId="ListParagraph">
    <w:name w:val="List Paragraph"/>
    <w:basedOn w:val="Normal"/>
    <w:uiPriority w:val="34"/>
    <w:qFormat/>
    <w:rsid w:val="00974683"/>
    <w:pPr>
      <w:ind w:left="720"/>
      <w:contextualSpacing/>
    </w:pPr>
  </w:style>
  <w:style w:type="character" w:styleId="IntenseEmphasis">
    <w:name w:val="Intense Emphasis"/>
    <w:basedOn w:val="DefaultParagraphFont"/>
    <w:uiPriority w:val="21"/>
    <w:qFormat/>
    <w:rsid w:val="00974683"/>
    <w:rPr>
      <w:i/>
      <w:iCs/>
      <w:color w:val="0F4761" w:themeColor="accent1" w:themeShade="BF"/>
    </w:rPr>
  </w:style>
  <w:style w:type="paragraph" w:styleId="IntenseQuote">
    <w:name w:val="Intense Quote"/>
    <w:basedOn w:val="Normal"/>
    <w:next w:val="Normal"/>
    <w:link w:val="IntenseQuoteChar"/>
    <w:uiPriority w:val="30"/>
    <w:qFormat/>
    <w:rsid w:val="00974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683"/>
    <w:rPr>
      <w:i/>
      <w:iCs/>
      <w:color w:val="0F4761" w:themeColor="accent1" w:themeShade="BF"/>
    </w:rPr>
  </w:style>
  <w:style w:type="character" w:styleId="IntenseReference">
    <w:name w:val="Intense Reference"/>
    <w:basedOn w:val="DefaultParagraphFont"/>
    <w:uiPriority w:val="32"/>
    <w:qFormat/>
    <w:rsid w:val="00974683"/>
    <w:rPr>
      <w:b/>
      <w:bCs/>
      <w:smallCaps/>
      <w:color w:val="0F4761" w:themeColor="accent1" w:themeShade="BF"/>
      <w:spacing w:val="5"/>
    </w:rPr>
  </w:style>
  <w:style w:type="paragraph" w:customStyle="1" w:styleId="singlespacedcaps">
    <w:name w:val="single_spaced_caps"/>
    <w:basedOn w:val="Normal"/>
    <w:link w:val="singlespacedcapsChar"/>
    <w:autoRedefine/>
    <w:semiHidden/>
    <w:qFormat/>
    <w:rsid w:val="00B42121"/>
    <w:pPr>
      <w:spacing w:after="0" w:line="240" w:lineRule="auto"/>
      <w:jc w:val="center"/>
    </w:pPr>
    <w:rPr>
      <w:rFonts w:eastAsia="Times New Roman"/>
      <w:caps/>
      <w:kern w:val="0"/>
      <w14:ligatures w14:val="none"/>
    </w:rPr>
  </w:style>
  <w:style w:type="character" w:customStyle="1" w:styleId="singlespacedcapsChar">
    <w:name w:val="single_spaced_caps Char"/>
    <w:basedOn w:val="DefaultParagraphFont"/>
    <w:link w:val="singlespacedcaps"/>
    <w:semiHidden/>
    <w:rsid w:val="00B42121"/>
    <w:rPr>
      <w:rFonts w:eastAsia="Times New Roman"/>
      <w:caps/>
      <w:kern w:val="0"/>
      <w14:ligatures w14:val="none"/>
    </w:rPr>
  </w:style>
  <w:style w:type="paragraph" w:customStyle="1" w:styleId="doublespacedcaps">
    <w:name w:val="double_spaced_caps"/>
    <w:basedOn w:val="singlespacedcaps"/>
    <w:link w:val="doublespacedcapsChar"/>
    <w:semiHidden/>
    <w:rsid w:val="00B42121"/>
    <w:pPr>
      <w:spacing w:line="480" w:lineRule="auto"/>
    </w:pPr>
  </w:style>
  <w:style w:type="character" w:customStyle="1" w:styleId="doublespacedcapsChar">
    <w:name w:val="double_spaced_caps Char"/>
    <w:basedOn w:val="singlespacedcapsChar"/>
    <w:link w:val="doublespacedcaps"/>
    <w:semiHidden/>
    <w:rsid w:val="00B42121"/>
    <w:rPr>
      <w:rFonts w:eastAsia="Times New Roman"/>
      <w:caps/>
      <w:kern w:val="0"/>
      <w14:ligatures w14:val="none"/>
    </w:rPr>
  </w:style>
  <w:style w:type="paragraph" w:styleId="NormalWeb">
    <w:name w:val="Normal (Web)"/>
    <w:basedOn w:val="Normal"/>
    <w:uiPriority w:val="99"/>
    <w:unhideWhenUsed/>
    <w:rsid w:val="004F46EE"/>
    <w:pPr>
      <w:spacing w:before="100" w:beforeAutospacing="1" w:after="100" w:afterAutospacing="1" w:line="240" w:lineRule="auto"/>
    </w:pPr>
    <w:rPr>
      <w:rFonts w:eastAsia="Times New Roman"/>
      <w:kern w:val="0"/>
      <w14:ligatures w14:val="none"/>
    </w:rPr>
  </w:style>
  <w:style w:type="character" w:customStyle="1" w:styleId="apple-converted-space">
    <w:name w:val="apple-converted-space"/>
    <w:basedOn w:val="DefaultParagraphFont"/>
    <w:rsid w:val="004F4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878875">
      <w:bodyDiv w:val="1"/>
      <w:marLeft w:val="0"/>
      <w:marRight w:val="0"/>
      <w:marTop w:val="0"/>
      <w:marBottom w:val="0"/>
      <w:divBdr>
        <w:top w:val="none" w:sz="0" w:space="0" w:color="auto"/>
        <w:left w:val="none" w:sz="0" w:space="0" w:color="auto"/>
        <w:bottom w:val="none" w:sz="0" w:space="0" w:color="auto"/>
        <w:right w:val="none" w:sz="0" w:space="0" w:color="auto"/>
      </w:divBdr>
      <w:divsChild>
        <w:div w:id="14617271">
          <w:marLeft w:val="0"/>
          <w:marRight w:val="0"/>
          <w:marTop w:val="0"/>
          <w:marBottom w:val="0"/>
          <w:divBdr>
            <w:top w:val="none" w:sz="0" w:space="0" w:color="auto"/>
            <w:left w:val="none" w:sz="0" w:space="0" w:color="auto"/>
            <w:bottom w:val="none" w:sz="0" w:space="0" w:color="auto"/>
            <w:right w:val="none" w:sz="0" w:space="0" w:color="auto"/>
          </w:divBdr>
          <w:divsChild>
            <w:div w:id="1937856938">
              <w:marLeft w:val="0"/>
              <w:marRight w:val="0"/>
              <w:marTop w:val="0"/>
              <w:marBottom w:val="0"/>
              <w:divBdr>
                <w:top w:val="none" w:sz="0" w:space="0" w:color="auto"/>
                <w:left w:val="none" w:sz="0" w:space="0" w:color="auto"/>
                <w:bottom w:val="none" w:sz="0" w:space="0" w:color="auto"/>
                <w:right w:val="none" w:sz="0" w:space="0" w:color="auto"/>
              </w:divBdr>
            </w:div>
          </w:divsChild>
        </w:div>
        <w:div w:id="282462150">
          <w:marLeft w:val="0"/>
          <w:marRight w:val="0"/>
          <w:marTop w:val="0"/>
          <w:marBottom w:val="0"/>
          <w:divBdr>
            <w:top w:val="none" w:sz="0" w:space="0" w:color="auto"/>
            <w:left w:val="none" w:sz="0" w:space="0" w:color="auto"/>
            <w:bottom w:val="none" w:sz="0" w:space="0" w:color="auto"/>
            <w:right w:val="none" w:sz="0" w:space="0" w:color="auto"/>
          </w:divBdr>
          <w:divsChild>
            <w:div w:id="456875298">
              <w:marLeft w:val="0"/>
              <w:marRight w:val="0"/>
              <w:marTop w:val="0"/>
              <w:marBottom w:val="0"/>
              <w:divBdr>
                <w:top w:val="none" w:sz="0" w:space="0" w:color="auto"/>
                <w:left w:val="none" w:sz="0" w:space="0" w:color="auto"/>
                <w:bottom w:val="none" w:sz="0" w:space="0" w:color="auto"/>
                <w:right w:val="none" w:sz="0" w:space="0" w:color="auto"/>
              </w:divBdr>
            </w:div>
          </w:divsChild>
        </w:div>
        <w:div w:id="2114476081">
          <w:marLeft w:val="0"/>
          <w:marRight w:val="0"/>
          <w:marTop w:val="0"/>
          <w:marBottom w:val="0"/>
          <w:divBdr>
            <w:top w:val="none" w:sz="0" w:space="0" w:color="auto"/>
            <w:left w:val="none" w:sz="0" w:space="0" w:color="auto"/>
            <w:bottom w:val="none" w:sz="0" w:space="0" w:color="auto"/>
            <w:right w:val="none" w:sz="0" w:space="0" w:color="auto"/>
          </w:divBdr>
          <w:divsChild>
            <w:div w:id="1053650865">
              <w:marLeft w:val="0"/>
              <w:marRight w:val="0"/>
              <w:marTop w:val="0"/>
              <w:marBottom w:val="0"/>
              <w:divBdr>
                <w:top w:val="none" w:sz="0" w:space="0" w:color="auto"/>
                <w:left w:val="none" w:sz="0" w:space="0" w:color="auto"/>
                <w:bottom w:val="none" w:sz="0" w:space="0" w:color="auto"/>
                <w:right w:val="none" w:sz="0" w:space="0" w:color="auto"/>
              </w:divBdr>
            </w:div>
          </w:divsChild>
        </w:div>
        <w:div w:id="1020663178">
          <w:marLeft w:val="0"/>
          <w:marRight w:val="0"/>
          <w:marTop w:val="0"/>
          <w:marBottom w:val="0"/>
          <w:divBdr>
            <w:top w:val="none" w:sz="0" w:space="0" w:color="auto"/>
            <w:left w:val="none" w:sz="0" w:space="0" w:color="auto"/>
            <w:bottom w:val="none" w:sz="0" w:space="0" w:color="auto"/>
            <w:right w:val="none" w:sz="0" w:space="0" w:color="auto"/>
          </w:divBdr>
          <w:divsChild>
            <w:div w:id="1970745976">
              <w:marLeft w:val="0"/>
              <w:marRight w:val="0"/>
              <w:marTop w:val="0"/>
              <w:marBottom w:val="0"/>
              <w:divBdr>
                <w:top w:val="none" w:sz="0" w:space="0" w:color="auto"/>
                <w:left w:val="none" w:sz="0" w:space="0" w:color="auto"/>
                <w:bottom w:val="none" w:sz="0" w:space="0" w:color="auto"/>
                <w:right w:val="none" w:sz="0" w:space="0" w:color="auto"/>
              </w:divBdr>
            </w:div>
          </w:divsChild>
        </w:div>
        <w:div w:id="1331177768">
          <w:marLeft w:val="0"/>
          <w:marRight w:val="0"/>
          <w:marTop w:val="0"/>
          <w:marBottom w:val="0"/>
          <w:divBdr>
            <w:top w:val="none" w:sz="0" w:space="0" w:color="auto"/>
            <w:left w:val="none" w:sz="0" w:space="0" w:color="auto"/>
            <w:bottom w:val="none" w:sz="0" w:space="0" w:color="auto"/>
            <w:right w:val="none" w:sz="0" w:space="0" w:color="auto"/>
          </w:divBdr>
          <w:divsChild>
            <w:div w:id="1565801578">
              <w:marLeft w:val="0"/>
              <w:marRight w:val="0"/>
              <w:marTop w:val="0"/>
              <w:marBottom w:val="0"/>
              <w:divBdr>
                <w:top w:val="none" w:sz="0" w:space="0" w:color="auto"/>
                <w:left w:val="none" w:sz="0" w:space="0" w:color="auto"/>
                <w:bottom w:val="none" w:sz="0" w:space="0" w:color="auto"/>
                <w:right w:val="none" w:sz="0" w:space="0" w:color="auto"/>
              </w:divBdr>
            </w:div>
          </w:divsChild>
        </w:div>
        <w:div w:id="1925141844">
          <w:marLeft w:val="0"/>
          <w:marRight w:val="0"/>
          <w:marTop w:val="0"/>
          <w:marBottom w:val="0"/>
          <w:divBdr>
            <w:top w:val="none" w:sz="0" w:space="0" w:color="auto"/>
            <w:left w:val="none" w:sz="0" w:space="0" w:color="auto"/>
            <w:bottom w:val="none" w:sz="0" w:space="0" w:color="auto"/>
            <w:right w:val="none" w:sz="0" w:space="0" w:color="auto"/>
          </w:divBdr>
          <w:divsChild>
            <w:div w:id="1784568021">
              <w:marLeft w:val="0"/>
              <w:marRight w:val="0"/>
              <w:marTop w:val="0"/>
              <w:marBottom w:val="0"/>
              <w:divBdr>
                <w:top w:val="none" w:sz="0" w:space="0" w:color="auto"/>
                <w:left w:val="none" w:sz="0" w:space="0" w:color="auto"/>
                <w:bottom w:val="none" w:sz="0" w:space="0" w:color="auto"/>
                <w:right w:val="none" w:sz="0" w:space="0" w:color="auto"/>
              </w:divBdr>
            </w:div>
          </w:divsChild>
        </w:div>
        <w:div w:id="921914587">
          <w:marLeft w:val="0"/>
          <w:marRight w:val="0"/>
          <w:marTop w:val="0"/>
          <w:marBottom w:val="0"/>
          <w:divBdr>
            <w:top w:val="none" w:sz="0" w:space="0" w:color="auto"/>
            <w:left w:val="none" w:sz="0" w:space="0" w:color="auto"/>
            <w:bottom w:val="none" w:sz="0" w:space="0" w:color="auto"/>
            <w:right w:val="none" w:sz="0" w:space="0" w:color="auto"/>
          </w:divBdr>
          <w:divsChild>
            <w:div w:id="546527119">
              <w:marLeft w:val="0"/>
              <w:marRight w:val="0"/>
              <w:marTop w:val="0"/>
              <w:marBottom w:val="0"/>
              <w:divBdr>
                <w:top w:val="none" w:sz="0" w:space="0" w:color="auto"/>
                <w:left w:val="none" w:sz="0" w:space="0" w:color="auto"/>
                <w:bottom w:val="none" w:sz="0" w:space="0" w:color="auto"/>
                <w:right w:val="none" w:sz="0" w:space="0" w:color="auto"/>
              </w:divBdr>
            </w:div>
          </w:divsChild>
        </w:div>
        <w:div w:id="443891763">
          <w:marLeft w:val="0"/>
          <w:marRight w:val="0"/>
          <w:marTop w:val="0"/>
          <w:marBottom w:val="0"/>
          <w:divBdr>
            <w:top w:val="none" w:sz="0" w:space="0" w:color="auto"/>
            <w:left w:val="none" w:sz="0" w:space="0" w:color="auto"/>
            <w:bottom w:val="none" w:sz="0" w:space="0" w:color="auto"/>
            <w:right w:val="none" w:sz="0" w:space="0" w:color="auto"/>
          </w:divBdr>
          <w:divsChild>
            <w:div w:id="10665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684</Words>
  <Characters>3900</Characters>
  <Application>Microsoft Office Word</Application>
  <DocSecurity>0</DocSecurity>
  <Lines>32</Lines>
  <Paragraphs>9</Paragraphs>
  <ScaleCrop>false</ScaleCrop>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Petkus</dc:creator>
  <cp:keywords/>
  <dc:description/>
  <cp:lastModifiedBy>Jessica Belk</cp:lastModifiedBy>
  <cp:revision>2</cp:revision>
  <dcterms:created xsi:type="dcterms:W3CDTF">2026-10-16T15:28:00Z</dcterms:created>
  <dcterms:modified xsi:type="dcterms:W3CDTF">2026-10-16T15:28:00Z</dcterms:modified>
</cp:coreProperties>
</file>